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
        <w:t>No. 28</w:t>
      </w:r>
    </w:p>
    <w:p w:rsidR="00AF6429" w:rsidRDefault="00AF6429">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
        <w:t>&lt;</w:t>
      </w:r>
      <w:bookmarkStart w:id="0" w:name="_GoBack"/>
      <w:r>
        <w:t>Eidetic ontology of the world</w:t>
      </w:r>
      <w:bookmarkEnd w:id="0"/>
      <w:r>
        <w:t>&gt;</w:t>
      </w:r>
      <w:r>
        <w:rPr>
          <w:vertAlign w:val="superscript"/>
        </w:rPr>
        <w:footnoteReference w:id="1"/>
      </w:r>
    </w:p>
    <w:p w:rsidR="00AF6429" w:rsidRDefault="00AF6429">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
        <w:t>&lt;a) Eidetic ontology of the world starting from nature&gt;</w:t>
      </w:r>
    </w:p>
    <w:p w:rsidR="00AF6429" w:rsidRDefault="00AF6429">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Man in life, that is, being in the occasional context, not only the single one, but the one living in community, and directed towards truth can search an objective truth that can be legitimated for all, one that is universally accepted in this sense.</w:t>
      </w:r>
    </w:p>
    <w:p w:rsidR="00AF6429" w:rsidRDefault="00990825">
      <w:pPr>
        <w:pStyle w:val="Text"/>
        <w:numPr>
          <w:ilvl w:val="0"/>
          <w:numId w:val="1"/>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280"/>
        <w:jc w:val="both"/>
      </w:pPr>
      <w:r>
        <w:t>There are unconditionally objective, non-occasional truths for the natural things beyond the formal, the ontological truths (the analytical and synthetical ones), the exactly natural scientific ones - as rules, enabling the construction of his occasional truths to every cognizing subject. They are practically important by that. The man, standing within life, needs the occasional truth everywhere, the prevision of the data of experience, to which all his acting, belonging to the surrounding world, is related. If he is focused on the natural scientific truth as a natural scientifically educated man, then [he is focused] on an index for the corresponding occasional truths that are to be gained intersubjectively and for each of the subjects singly in their inwardliness, and to be gained from the individual situation. If he is focused in a purely theoretical way, then he is simply a clerk of works for theoretical formations of the science. And insofar as it is a proper kind of culture, he works into the cultural surrounding world in its special closedness as a science. But there is not the nature into which he lives and works in many ways, his practical theme. Only the experienced nature can be a practical natural theme. Only this is the actuality of life, as long as it simply is not life of the theoretical scientifician in professional attitude.</w:t>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As far as I can calculate nature, that far do I have a calculation of human mentality in relation to nature, [324] simply as far as it is an experiencing one possibly conceiving occasional judgements. But that which goes beyond that, that which constitutes the personal mentality else in its life as a human one, like the animal one as well, that sets quite different tasks from experience. A sensuous truth with a sensuous relativity, one of the kind we have in the experiential truth of nature, is missing there, and likewise the relativism of the experiential truths as close and distant truths, again understood in that sense, as it takes place in nature, [is missing].</w:t>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The Apriori of the constitution of nature as an onto&lt;logical&gt; one belongs to the ontology of the personality, insofar as it is one that cognizes nature, [there] belongs the aesthetical style of the experienceable nature, [there] belongs the theory of the idealization, the stamp of the basic concepts and basic rules of the mathematizing of nature, and thus [there] belongs the ontology of nature itself as a subjective formation of a method, the de facto grounding of which simply is a personal ontology. Of course this implies the psychophysical Apriori as well, the Apriori of bodiliness, body-sensuousness.</w:t>
      </w:r>
    </w:p>
    <w:p w:rsidR="00AF6429" w:rsidRDefault="00990825">
      <w:pPr>
        <w:pStyle w:val="Text"/>
        <w:numPr>
          <w:ilvl w:val="0"/>
          <w:numId w:val="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280"/>
        <w:jc w:val="both"/>
      </w:pPr>
      <w:r>
        <w:t xml:space="preserve">If we leave out of account the idea of the mathematically truly being nature in itself (mathematical natural science), then this roughly means: We presuppose a certain normality of the sensuousness, we take the persons in a common surrounding world and we abstract under a certain absolutizing of the normal case, that we men among each other are concordant in our experiential judgements (in the verifications of course) and thus are a community of sensuously normal ones. Or: We consider personalities in their community life, as far as it is a community life and [as far as it] as such </w:t>
      </w:r>
      <w:r>
        <w:lastRenderedPageBreak/>
        <w:t>presupposes a common world as a commonly experienced one.</w:t>
      </w:r>
      <w:r>
        <w:rPr>
          <w:vertAlign w:val="superscript"/>
        </w:rPr>
        <w:footnoteReference w:id="2"/>
      </w:r>
      <w:r>
        <w:t xml:space="preserve"> This does not exclude something discordant in the single perceptions and verifications, just as the illusions of every single person [are not excluded], and the like.</w:t>
      </w:r>
    </w:p>
    <w:p w:rsidR="00AF6429" w:rsidRDefault="00990825">
      <w:pPr>
        <w:pStyle w:val="Text"/>
        <w:numPr>
          <w:ilvl w:val="0"/>
          <w:numId w:val="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280"/>
        <w:jc w:val="both"/>
      </w:pPr>
      <w:r>
        <w:t>We presuppose nothing but the man and the surrounding world, namely starting from the de facto experiential world, into which we live and which includes „us“ as men.</w:t>
      </w:r>
      <w:r>
        <w:rPr>
          <w:vertAlign w:val="superscript"/>
        </w:rPr>
        <w:footnoteReference w:id="3"/>
      </w:r>
      <w:r>
        <w:t xml:space="preserve"> After a universal [325] description of this experiential world, we then advance to an eidetic variation.</w:t>
      </w:r>
      <w:r>
        <w:rPr>
          <w:vertAlign w:val="superscript"/>
        </w:rPr>
        <w:footnoteReference w:id="4"/>
      </w:r>
    </w:p>
    <w:p w:rsidR="00AF6429" w:rsidRDefault="00990825">
      <w:pPr>
        <w:pStyle w:val="Text"/>
        <w:numPr>
          <w:ilvl w:val="0"/>
          <w:numId w:val="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280"/>
        <w:jc w:val="both"/>
      </w:pPr>
      <w:r>
        <w:t>The variation of the experienced nature leads to an experiential eidos nature there, which leaves the sensuously genres and differences openly indetermined as contingent material, and thereby leaves open in every possible world of experience that a community of persons is related to the same world of experience, [that it] &lt;can&gt; identify it in its single realities as well, whereas they do not coincide in the specifically sensuous qualities. But if it is taken into the presupposition of a common surrounding world that is verifiable through common experience, that the things of experience are common things in all (in the specific ones as well) sensuous qualities, that is, enable a commonly practical behavior in relation to all, then the contingent qualities cannot change without any rules in the single individuals, that is, not merely in single individuals in communication with one another, nor in the single one in his private experience. There needs to be a difference in the single one in private as well as in the communality between normality and abnormality, and in relation to that a rule of dependence of the bodiliness, characterizing itself then respectively as normal (or normal according to single senses), and abnormal. The community then implies constantly a community of normal ones, the truth of whom is the measure as well for the ones who are abnormal (in single directions). The co-existence of those who are that abnormal that they do not participate in a common world, completely abnormal ones, a common life with whom is excluded, in a world, that is a common world for normal and partially abnormal ones, remains open. That, which we find in the fact, also implies the examplary of the essence. But the question is, what results into a sustaining essence in the fact in variation. The just now exhibited structure in the fact proves itself to be a formal necessity, as good as space and time.</w:t>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The variation also results in the contingence of every close-distant-givenness, and thereby in that of the close thing that is respectively accepted as a true being (in relation to any practical interest) as an optim&lt;um&gt;. Only the presupposition is needed here that the [326] experiential unity in the change of the „accomodation“ as before, the identity of the object presenting itself in a new approach, is sustained, and the same optimum is sustained in the same closeness as well. We do not get beyond that if we do not transgress the experiential world. It may, with regard to the proximities and distances, always leave open the option that the experientially true thing determines itself anew in a huge approach, if such is possible. The relatedness of the community to the same surrounding world and the option of a practical community life does not suffer through this openness, insofar as a normality is preferred in this regard as well, a normality of the best possible accomodation, and, if means of the accomodation‘s amelioration are to be gained, insofar as each means of amelioration then becomes commonly accessible and the community is always related to a common ordinal sequel of accomodations, to which practical purposes can correspond, or rather, to which the practical purposes themselves adjust.</w:t>
      </w:r>
    </w:p>
    <w:p w:rsidR="00AF6429" w:rsidRDefault="00AF6429">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
        <w:lastRenderedPageBreak/>
        <w:t>&lt;b) New beginning in the&gt; eidetic of personality, &lt;of the We and our cultural surrounding world. Difference between formal and eidetic universality. Delimitations and similarities towards the animal world&gt;</w:t>
      </w:r>
    </w:p>
    <w:p w:rsidR="00AF6429" w:rsidRDefault="00AF6429">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Now we try to consider the following. Are we not able to procede, that is what we ask, in the following way? b) We can possibly let go this whole eidetic consideration of nature in merely intersubjective experienciality in advance, instead of starting with it, that is, instead of thoroughly considering the eidetic option of a natural structure of the surrounding world, and to determine its essential form with regard to its givenness of appearance and the somatological of the community. We leave all that indetermined thus, and simply take the presuppositions as a starting point [that] there was a world for humanity as its world, with an experiential truth exhibiting itself or in need of exhibition in its experience. As long as men have been, and wherever they are singly and together, they experience a world; &lt;they&gt; communicate on that and agree, can agree in truth and falseness. They are [327] convinced of that themselves; and it shall be presupposed that it is lastingly that way. We vary this now without investigating its essential conditions in every regard. An experiential world shall be like ours, the type shall be preserved. We are not especially interested in nature in a varying way, but in the personal subjectivity and in the world, insofar as it gains a shape from subjectivity and not as mere nature, and in truth, and the subjective modes that belong to this.</w:t>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Still we may object to this: Since the world necessarily has a natural structure in the experiential life and thereby in the whole life practice of men, this life cannot help having consideration for this as well. It is there consciously though not abstractively layered, always motivating as well. All eidetic considerations that wish to abstract from it can only have insight and necessity by the view being directed in advance to the aesthetically universal of the experienced nature, and its constantly being preserved in the variation, and by [the fact] that therefore only such determinations are brought in that are scientifically accessible to insight as essentially necessary in thorough eidetic analysis. We indeed cannot speak of the acting man without having regard for orientation, ways of appearance, sensuous abnorm&lt;ality&gt; and normality, and the like. Thus, it is then spoken of without having determined it as an eidetic form in a systematically strict way, and according to its admissible options.</w:t>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This seems to again lead to the conclusion that nature‘s aesthetic has to precede the eidetic study of human personality as a correlate of a surrounding world being in intersubjective human experience. Still: Even if a consideration of the correlation entering the concretions naturally needs the eidetic of nature, it has still not been said that we could not begin and perhaps have to with some formally universal thing. If the surrounding world remained quite indeterminate in its eidetic essential content, then still a formal „sociology“ would be possible, the „man“ as a personal subject for a formal logic of being (formal ontology), likewise &lt;for a&gt; formal axiology and practice.</w:t>
      </w:r>
      <w:r>
        <w:rPr>
          <w:vertAlign w:val="superscript"/>
        </w:rPr>
        <w:footnoteReference w:id="5"/>
      </w:r>
      <w:r>
        <w:t xml:space="preserve"> The only form then, [328] left for this formally considered world, that one presupposing the temporal form as intersubjective. The subject itself would have its formal as an I, as consciousness, as immanent temporal form, as intentional objectivity, as modes of experience, etc., also genesis. But we would thereby not have the „man“, just as little as a human surrounding world.</w:t>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It makes a difference, whether we rise from the given experiential world with the given men and animals in a concretely varying way towards an essentially necessary idea that puts this concretion into an eidetic system of pure concrete options, or whether we, not sensible for the concrete content, that is, keeping it indeterminately variable, hold on to the formally universal („in a mathematizing way“).</w:t>
      </w:r>
      <w:r>
        <w:rPr>
          <w:vertAlign w:val="superscript"/>
        </w:rPr>
        <w:footnoteReference w:id="6"/>
      </w:r>
      <w:r>
        <w:t xml:space="preserve"> Correlatively we then only have a formal idea of the I and the I-community, they are Egos that only experience, verify „something“ as such, etc. and are determined to thereby value and act, etc. Which essential necessities then emerge, closer determining the formal in material regard, if the common world is at first only thought of as a modality of the empty something as such and more closely &lt;of the&gt; temporal something, &lt;under which conditions&gt; a concrete world shall be, and thereby the Ego subjects concretely determinable and determined, this can only be found in the example of a concretion, in a world that is given in an exemplary way, and in concrete description and eidetic variation.</w:t>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It seems to me that if I still have to acknowledge the right of the preceding formal ontology, that an ontology, starting from positivity and not giving up its standpoint, has to begin as an eidetic, but &lt;as&gt; a formal one of the objective world (the world of an open manifoldness of subjects as such) from pure experience</w:t>
      </w:r>
      <w:r>
        <w:rPr>
          <w:vertAlign w:val="superscript"/>
        </w:rPr>
        <w:footnoteReference w:id="7"/>
      </w:r>
      <w:r>
        <w:t xml:space="preserve"> (empiriographically“ eidetic), but at first</w:t>
      </w:r>
      <w:r>
        <w:rPr>
          <w:i/>
        </w:rPr>
        <w:t xml:space="preserve"> in forma</w:t>
      </w:r>
      <w:r>
        <w:t>.</w:t>
      </w:r>
      <w:r>
        <w:rPr>
          <w:vertAlign w:val="superscript"/>
        </w:rPr>
        <w:footnoteReference w:id="8"/>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[329] This &lt;shall be&gt; understood in the following way: If I vary in eidetic purposes then  this may designate: I vary continuously and stick to the coincidence of the possible concretions and &lt;to&gt; the materially common thing which thereby emerges as an eidos. But it may also designate: I vary discontinuously, I do not pay attention to the the concrete content and only stick to the formally empty something as such, but of course as a possible and experienceable one. It does not matter to me whether there are things or men or works of art that I legitimate each in its kind in harmonious experience as something being, or rather, possibly being. Something emerges in the coincidence, some intersubjectively experienceable thing. It is something objectively experienceable as that, predicable, statable in experiential truths.</w:t>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This implies: If I vary the surrounding world, then I also vary the corresponding subjectivity in the freedom, that permits the identical form „We and our surrounding world“ that has to be kept. And however freely I thereby vary, I am still bound in that each subject of a  surrounding world that is truly being in a presupposed way may be experienced in a consequently harmonious way, and shall concord with each other [subject] in that each is able to think on the basis of experience, that is, to form judgements, originally taken from experience and then, as habitual convictions, lastingly or otherwise formed from inspirations of the experience, and possibly then not verified by experience, etc. Here the way opens to the universal formal logic of being (as an empty formal ontology of a possible, still undetermined world) with originally taken basic concepts and principles, with an original noematic, but a formal one of the experiencing and judging personalities cognizing truth.</w:t>
      </w:r>
      <w:r>
        <w:rPr>
          <w:vertAlign w:val="superscript"/>
        </w:rPr>
        <w:footnoteReference w:id="9"/>
      </w:r>
      <w:r>
        <w:t xml:space="preserve"> The eidetic consideration of the objectivities thus already demands the consideration of personal formations related to it in the very first universality, that have the character of new, irreal objectivties, and on the other hand the consideration of the persons themselves according to their experientially cognizing performing and the habituality accruing to them.</w:t>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[330] We can now stop in the formal consideration and consider their &lt;the persons‘&gt; other sides as well, without which a personality cannot be thought of in possible experience and in formal attitude. I could consider: I and a personal subject as such can only have an original experience of myself/itself. This is a formal thesis. Whatever I experience in complete originality as personal, is my own. As a de facto Ego I experience „externally“, I experience that, which is not me, and there belongs the whole world, as far as it is not I, the one that has to count himself among it. If I vary now and presuppose that I remain a subject of a world, this, however I vary it, has to remain in formal universality that I experience a „nature“, in a formal sense of an Ego-foreign sphere of objectivity.</w:t>
      </w:r>
      <w:r>
        <w:rPr>
          <w:vertAlign w:val="superscript"/>
        </w:rPr>
        <w:footnoteReference w:id="10"/>
      </w:r>
      <w:r>
        <w:t xml:space="preserve"> Because if I did not experience such a one in my subjective experiencing as an „external [experiencing]“ I could not experience another Ego, since something egoical I originally experience can only be a proper thing. It thus has to be indicated through some „natural thing“ in my own sphere. The indication of something „psychic“ through some non-psychic thing though is only conceivable, if a natural thing experienced by me already indicates a psychic, egoical thing in original indication, i.e. thus, is bound to it in an associative way. But this can only be some proper psychic thing, therefore I need to have a body. And other Ego are only experienceable as bodily, with bodies, having a typical community with mine, and thereby enable the apperceptions „foreign subject“, „foreign bodily psychic man“.</w:t>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However right this reasoning is, it still draws the attention to the fact that thereby much is already demanded of the Ego in a proper essentially formal way, which priorily had to be exhibited. It already prompts the thought that still some first thing could be a formal egology, and I gain my pure Ego under phenomenological reduction at the example of my de facto Ego, however formally I vary. If I am an Ego at all, then I have to be an experiencing one being able to experience, thinking and being able to think, valuing, wishing. And necessarily always the difference has to remain between my specific egoical, my [331] intentional life, and certain hyletic contents, already having the character of the non-egoical, although &lt;they are&gt; not dispensable for its enabling. I thereby arrive at some formal universal thing that is not bound to the precondition that the I person shall be in relation to some personal objective surrounding world.</w:t>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(But is it not peculiar that I, as a factual I, as a cultural man, utter predicative truths, lingually thinking, making statements, for an I that is no longer presupposed in this way?</w:t>
      </w:r>
      <w:r>
        <w:rPr>
          <w:vertAlign w:val="superscript"/>
        </w:rPr>
        <w:footnoteReference w:id="11"/>
      </w:r>
      <w:r>
        <w:t xml:space="preserve"> Is not the essential form man presupposed, in order that as a variant form of it is cognized an Ego subject as possible and be delimited in a logically scientific way, that no longer is a man - quite as if the mad man, lower animals and that sort of variants are &lt;described&gt; scientifically? But by my, the scientific subject‘s, remaining anonymous, this difficulty does not and the issues connected to that do not become visible and sensible. This is a piece of the naivety that is necessary in the beginning. And it would also belong to it that I then build the logic in a logically thinking way, like &lt;I&gt; already build the whole formal doctrine of the subject according to it in a logically right way, whereas I only gain the logic in the theme afterwards, and the noematic doctrine of right, by which again the whole way towards it shall justify itself.)</w:t>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The way would thus be a „formal“ eidetic of the single subjectivity and intersubjectivity &lt;at first&gt;. This leads to the necessity (in order that they shall be „men“, i.e. spoken in a formal way: personal subjects, related to a world), to posit something transcendent as well, transcendent bodiliness with associatively corresponding „psychic lives“. The example of the experienced de facto nature then leads to the formal of nature in free variation. We certainly have transgressed the formal in the sense of the something. In contrast to that, which is empty formal in this sense we are now occupied with material things. But we still cannot only perform the method of the formal ideation in the binding at something as such in a world, but also in relation to purely subjective contents, even if they have nothing in common in their content, and thus for each and all taken together [332].</w:t>
      </w:r>
      <w:r>
        <w:rPr>
          <w:vertAlign w:val="superscript"/>
        </w:rPr>
        <w:footnoteReference w:id="12"/>
      </w:r>
      <w:r>
        <w:t xml:space="preserve"> And we also have noetic parallels as essential correlates in this universality. Therefore not the formally logical can be the beginning, but a formal consideration of the subjectivity in pure intuition.</w:t>
      </w:r>
      <w:r>
        <w:rPr>
          <w:vertAlign w:val="superscript"/>
        </w:rPr>
        <w:footnoteReference w:id="13"/>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 xml:space="preserve">Is it not consequent then to go over to nature, the necessary precondition of the intersubjectivity? Is it thus in logical naivety to go over into an empirographical eidetic of a nature as such, and to thus work out the </w:t>
      </w:r>
      <w:r>
        <w:rPr>
          <w:i/>
        </w:rPr>
        <w:t>natura formaliter spectata</w:t>
      </w:r>
      <w:r>
        <w:t>, as long as I simply do not have any logic? But at first without any regard for intersubjectivity. (Of course, the whole doctrine of association, everything I aimed at in my lectures on transcendental logic, then belongs to the egologically formal.) The intersubjective of the bodiliness then implies further bindings, the binding to an intersujective world that can be legitimated also with regard to the contingent qualities.</w:t>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How about the ontology of the animals (the animality) then and of men, the „reasonable beings“? The animals do also have a common world with the natural basic. The difference between animal and man is not immediately in question. The formal ontology of the pure subjectivity is designed in the described necessary procdeure, and in the transition towards the completion completed in the intersubjectivity as well, and the zoological ontology is implied &lt;in&gt; that. Can we talk of an ontology of the animal surrounding world with importances that are instituted in a brute-animal way? How do we then arrive at the man, at „reason“?</w:t>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 xml:space="preserve">The subject shall be able to cognize and justify truth. It shall be able to live and practically justify itself according to truth. It shall additionally be able to cognize values, cognize and differentiate right and not right values from the valuing life, and value according to cognized values. It shall not only harmoniously experience, and recognize some normally experienced thing, and live into a world of experience (keeping itself through many kinds of illusions) as a unity of experience, it shall be able to cognize a world as a truly being one, ask its objects of experience questions on the true being in detail and decide with reasons in an insightful way for truth as actual [333] actuality and falseness as an illusion. It shall be able to grasp the Whatever (the </w:t>
      </w:r>
      <w:r>
        <w:rPr>
          <w:i/>
        </w:rPr>
        <w:t>katholou</w:t>
      </w:r>
      <w:r>
        <w:t>), judge according to forms of the Whatever, and it shall [be able to] cognize and judge according to principle&lt;s&gt; the apodictic necessity and fundamental universality.</w:t>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It shall be able to judge and act in exactly the axiological and practical forms of the Whatever (make and universally perform universal decisions) and [it shall] be able to universally justify them in logical cognizances that are based on corresponding universal actions of the emotion. And finally it &lt;subjectivity&gt; shall be able to perform universality in yet another way of thinking, valuing &lt;and&gt; acting that is closely linked to that: universality in the cognition as self-cognition (and community cognition in relation to universal humanity), universality in the judging of humanity and judging of the human surrounding world, universality in the practice in all these relations, that is, as fundamentally grounded.</w:t>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One more time in a word: The animal shall be a reasonable being, shall be a man in the pregnant sense, a being, having implied and unfolding the idea of its truth, and having the idea of its axiologically practical truth as a practical norm, that is, like man for himself, thus humanity in the whole and man for himself only as a member of community.</w:t>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And only here is the place for the formal logical disciplines, the doxic, axiological and practical logic as an empty formal one, but simply belonging only to humankind, simply being implied as inborn as a human essential form and essential norm for a true world as a correlate of reason, formally constituting the idea of man.</w:t>
      </w:r>
      <w:r>
        <w:rPr>
          <w:vertAlign w:val="superscript"/>
        </w:rPr>
        <w:footnoteReference w:id="14"/>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 xml:space="preserve">And again &lt;it&gt; is now necessary to uncover all ontology as a concrete logic belonging to the idea of man and his surrounding world as a human &lt;surrounding world&gt;, also the eidetic of the eidetically-empiriographically considered nature. The whole way started from man and his surrounding world, searched for the apodictically formal Apriori of free variation, seemingly in a distance to man, and eventually led to him as a particularity. But all these [334] options were thought by me, a man, and could only be thought by a man. </w:t>
      </w:r>
      <w:proofErr w:type="gramStart"/>
      <w:r>
        <w:t>They presupposed reason, and the reasonably thinking one as such.</w:t>
      </w:r>
      <w:proofErr w:type="gramEnd"/>
      <w:r>
        <w:t xml:space="preserve"> He had to be in connection to the thought, to all options, insofar as he thought otherwise of himself as well, but as a subject that remained and had to remain a man.</w:t>
      </w:r>
    </w:p>
    <w:p w:rsidR="00AF6429" w:rsidRDefault="00AF6429">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
        <w:t>&lt;c) Reflection on the genesis of the freely-fantasizing-me-myself. Every possible world necessarily remains a world of men, and thereby eventually bound to the fact of our world.&gt;</w:t>
      </w:r>
    </w:p>
    <w:p w:rsidR="00AF6429" w:rsidRDefault="00AF6429">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We need to consider here the following as being of great importance: If I reconsider any mental processes I have, freely fantasizing in an intuitive way, then I am an actual I, and within fantasy, belonging to the freely fantasized mental process, a fantasy-I, a reproductive modification analogous to that of memory, in which I, as a memorized I am with the memorized, and yet I myself, I in my past; the current and the remembered I stand in the coincidence of identity. On the other hand though the reproductive I is merely a fantasized one, and thereby united with my current sense of present in its sense in quite another way. My actual I is an non-intuitional but determinate sense in every present; determinate insofar as it has to be evidently uncovered in rows of rememberings, that is, in such a way, that thereby the habituality belonging to the sense of present gains its original clarification, and the sense becomes evident in its determinacies. My whole current life of the past has attributed to that, and every past I with its sense and its acts is a pre-step to that, and is standing in a corresponding sense community with the sense of the present.</w:t>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The fantasy-I though is not in the like community with me, its sense is only determined through the community with my current I, but at the same time through the fantasized mental process, struggling with my current mental process, and thereby with me myself. At first, the question is, how it may receive a harmonious sense and a determinate one, so that it is able to mentally live in such a way; or rather, if I accept it as an option, the option has to be an option at first by my thinking my I as correspondingly changed, otherwise corresponding with my actual &lt;I&gt; and [335] its actual habituality, but correspondingly changed in a way of a past life, and a habituality born from that, so that the respective mental process was able to make its appearance.</w:t>
      </w:r>
      <w:r>
        <w:rPr>
          <w:vertAlign w:val="superscript"/>
        </w:rPr>
        <w:footnoteReference w:id="15"/>
      </w:r>
      <w:r>
        <w:t xml:space="preserve"> Still we have to differentiate two cases here:</w:t>
      </w:r>
    </w:p>
    <w:p w:rsidR="00AF6429" w:rsidRDefault="00990825">
      <w:pPr>
        <w:pStyle w:val="Text"/>
        <w:numPr>
          <w:ilvl w:val="0"/>
          <w:numId w:val="4"/>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280"/>
        <w:jc w:val="both"/>
      </w:pPr>
      <w:r>
        <w:t>Newly emerging data of the senses, but also new mental processes of my surrounding world that emerge without my assistance, do not attack my past or not necessarily, insofar as they follow the harmonious style of the total experience, and the continuity of the past determinacies of the I, in which I have been, and from which I, the way I am, have become. The new can enormously determine me, also essentially attack my former habituality, as if I have to give up basic convictions. But in this kind of newly becoming and changing habituality I am always becoming. This belongs to the being in becoming of my I, and of an I as such.</w:t>
      </w:r>
    </w:p>
    <w:p w:rsidR="00AF6429" w:rsidRDefault="00990825">
      <w:pPr>
        <w:pStyle w:val="Text"/>
        <w:numPr>
          <w:ilvl w:val="0"/>
          <w:numId w:val="4"/>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280"/>
        <w:jc w:val="both"/>
      </w:pPr>
      <w:r>
        <w:t>Likewise my future personality is determined in the freely fantasizing otherwise of a present in that sense, that something else (actually and correspondingly) may emerge, than that, which actually emerges, but my personality, the way it is according to the whole content of the past) does not suffer from that.</w:t>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It is something else if my new experience is not harmonious on that, which had been given by prior experience, or if &lt;I&gt; freely fantasize my judgements, my valuing statements, my actions, that is, for any present. They presuppose a preceding life, a preceding experiencing, preceding statements and habitualities growing from that, as if I freely fantasize to myself that I hate some beloved person, kill him, etc. Every such fiction presupposes for its option that I, as a corresponding fantasy-I, consider a corresponding variation of my former life or life-style, and thereby my corresponding style of being as changed as well, that is, radically change the sense of the fantasy-I in contrast to my current I despite the „coincidence“. Only in those cases have I considered another one, that is, another one who possibly is the way I could never be at all for my „individuality“, but not in the other [336] way that I could become without loosing my I, the way it was grounding for the becoming and now is.</w:t>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If I now think of me otherwise in that way, I create myself a fantasy-I as a variation of my I by may considering it purely as that I that has certain mental processes and options of mental processes, e.g. that has a consequently harmonious experience of the world, lives into the experiencing world as an I in doing and leaving (without any consciousness of universality, without any universal thinking, valuing, wishing, and the like), then an infinity of the life, and of the habitual becoming, and thereby a sense is predelineated for the I, in which it needs to have become, and further needs to become. This sense then is not gained from my fantasizing into such ways of mental processes in such a way that I keep my own sense of being, and possible change it only that far that I could also have similar mental processes, but, as I said, without regard to my other determinate I. Certainly, I still freely fantasize myself otherwise, therefore the I-coincidence. This means: a form, belonging to a concrete I as such - like experiencing in its different modes (remembering, expecting) imagining, modalities of the belief, feeling in a valuing way, desiring, wishing and their modalities -, is preserved, and cannot be lost. We could say: I with Ego-life, egoical performing as a modality of the „something“. But beyond that the demanded and intuitively fantasized content of the mental process, and possibly endless, but intuitive style of life then exclusively determines, how the I has to be created in a more determinate way. (Likewise and not differently does it stand within the empathizing, if we, motivated by the bodily indication, want to make intuitive the undetermined subject of the mental processes that alone are indicated in a direct way. It is presented as empty, but it has a demanded sense beyond the form I.)</w:t>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We connect the following thoughts to that now: if I fantasize myself into an I that has no reason or into a world without any reasonable beings, then I can of course ascribe an option to it: I can make statements on it, essential cognitions, nay, often gain a whole science, of course by my reason. But how does this come to pass? If I describe a thing of fantasy, then I am not only an actual I, but I in the fantasy, quasi being there as well, quasi experiencing, and quasi describing on the [337] basis of experience. And only thereby do I then have as an actual I, conscious of its presentness and existence, a current „description“, I claim as actual and not modified truth for the thing of fantasy. This means that my fantasy and my fantasy-I have extended, the fantasy-I is now not merely different, but also a reason-I. I am, if I describe the fantasy world, at the same time a present I, and as a fantasy-I experiencing in the fantasy world, and describing it on the basis of the (fantasy-) experiences. The describing I though is a stating I, comprehending, directed to truth and cognizing truth.</w:t>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 xml:space="preserve">This implies: It is </w:t>
      </w:r>
      <w:r>
        <w:rPr>
          <w:i/>
        </w:rPr>
        <w:t>a priori</w:t>
      </w:r>
      <w:r>
        <w:t xml:space="preserve"> included in every possible world that a „man“, „men“, reasonable beings can be adjointed to it as possibly belonging to it. But men are inconceivable without a human world. Man is not to be put into a world like dead household goods, but being as a man he necessarily lives in a world that is there for him, and has its sense and shape of the mind from him. Thus every possible world is a world for a subjectivity it is given to according to the surrounding world. However this subjectivity and its world may now be thought of, and [however] this may be made intuitive as a proof of its option in its shapes of the surrounding world, that is, the subjectivity in its correlative shapes, it is certain that this world has to be in the style of a human world. Only such variations are conceivable as being, as predicable, as theoretically cognizable, that can fit into a human world in the way of brute-animal surrounding worlds and worlds. But animal, subhuman worlds are no other worlds than the world of men, who are together with these animals, but variations, having the character of incomplete „appearances“ of the same world. There can be no superhuman world in the sense that is questionable here, since it can be made a member of a human world as a predicable one, and is subordinated to it in this sense. Thus the options of being, or rather, being variations of the world, encompassed in a human world and in man himself, necessarily enclose all ontological options, thus the animal world, that of the higher animals and the lower ones, but also the world of the madmen, etc.</w:t>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[338] The animals do not „live“ into the human world, insofar as the world that is there for them cannot contain any men since they do not have any idea of reasonable acts, and only man, who has reason and lives in his human world, can give a sense to the locution that animals among other things of the world see men as well and that the animals experience the same world as men. These are ambiguous locutions we must not succumb to.</w:t>
      </w:r>
      <w:r>
        <w:rPr>
          <w:vertAlign w:val="superscript"/>
        </w:rPr>
        <w:footnoteReference w:id="16"/>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Every rational product, each, be it primitive, be it howsoever complicated, is only conceivable as a product of possible reasonable subjectivity, of a possible man in the formal sense, that is, already every option as an option (as truly being) and determining itself thus and thus, every possible statement, every science of options, that is, an ontology. We cannot conceive of the like otherwise than as a product of a reasonable forming, whereby the possible subjectivity may be a de facto one in the de facto world or &lt;in&gt; one that is varied somehow, just that it simply is a „human“ &lt;world&gt;.</w:t>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But now we also have to say: I am</w:t>
      </w:r>
      <w:proofErr w:type="gramStart"/>
      <w:r>
        <w:t>, I</w:t>
      </w:r>
      <w:proofErr w:type="gramEnd"/>
      <w:r>
        <w:t xml:space="preserve"> live into my world. I cannot delete the fact. All options I can conceive of, are variations of this fact, therefore related back to it. All formations of thinking have their real rooting, which does not prevent that they were to be built as the same for others as well, and at other times, provided that the preconditions of the sense belong to them. Apriori formations belong to each conceivable reason-subjectivity. There also belongs the Apriori we have spoken of as essentially accepted in all formerly said, therefore the following as well, that each conceivable Apriori is bound to &lt;the&gt; facticity of a reasonable subjectivity. But this Apriori also presupposes the fact: we men.</w:t>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[339] We begin the ontology with the positing „we and our world“ or with the positing of this world, us as experiencing, thinking, etc., subjects included therein. We change the fact. We incrementally build &lt;up&gt; the essential necessities for possible worlds, for possible subjects, we build up the ontological disciplines, and on the basis of the same then the Apriori as well for the sciences in relation to any possible world, that would then be presupposed as an actual one.</w:t>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We thereby have not yet lost the ground of actuality. We are men, reasonable beings, live in a human world. Just because we are this we can set such tasks, and gain all options and sciences of options, this is what we ourselves have cognized as a sentence of ontological importance. There can only be one complete world, a human world; all eidetic variations receive their type. All other conceivable worlds are only conceivable from the ground of a human world, and thereby they can only be actual in the form of a human world. Since we are men, all options are only to be realized within the human world.</w:t>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Of course, where we have incompossible options, one simply excludes the other. But that, which we have not seen in advance, is, that we, changing the human world and gaining all conceivabilities, remain within the type human world, into which all types have to fit. But at the same time the advantage of subjectivity comes to the fore. All worlds are surrounding worlds; and all Ego subjects that are conceivable in a compossible way, are included in a human world. If they are not mere options, if they shall be able to be true, they need to be in the respective de facto human world, in which I am de facto, and we are de facto Egos. This is an apriori sentence, and this implies: every possible and compossible subject is a self-contained all, related to a single world that is his. And it is accepted for each subject of this all that it may indeed think of other subjects and other worlds with other things, but that no subject thereof can actually be, unless: one that already in advance belongs to the horizon of actuality of the actual world of this actual I, and all de facto Egos.</w:t>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[340]</w:t>
      </w:r>
    </w:p>
    <w:p w:rsidR="00AF6429" w:rsidRDefault="00AF6429">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
        <w:t>Supplement XXVI</w:t>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
        <w:t>&lt;The grasping of the essential style of my I, and of other Egos through endless self-variation&gt;</w:t>
      </w:r>
      <w:r>
        <w:rPr>
          <w:vertAlign w:val="superscript"/>
        </w:rPr>
        <w:footnoteReference w:id="17"/>
      </w:r>
    </w:p>
    <w:p w:rsidR="00AF6429" w:rsidRDefault="00AF6429">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 xml:space="preserve">If I say </w:t>
      </w:r>
      <w:r>
        <w:rPr>
          <w:i/>
        </w:rPr>
        <w:t>ego cogito</w:t>
      </w:r>
      <w:r>
        <w:t xml:space="preserve">, then I have intuitive only the current content of the present. The I has as a present I the poleform, but not merely that, an undiscovered sense as well, although one that is to be disclosed in infinity. I am with my determinate habituality, and &lt;in order&gt; to disclose it, I would have to disclose my genesis in continuing remembering; thus only thereby do I gain actual intuition as to what I am. An endless task. But this unsolved task is still guided by the sense „I“, which, even if it is unclear, still it is vivid, which is not to be understood merely as a universal sense here, but as the determinate one of the moment, changing with every new act. </w:t>
      </w:r>
      <w:proofErr w:type="gramStart"/>
      <w:r>
        <w:t>And yet I am the</w:t>
      </w:r>
      <w:proofErr w:type="gramEnd"/>
      <w:r>
        <w:t xml:space="preserve"> same. The pole is identical, and the universal form of the sense preserves itself, within which I am always identically the same in the becoming on and changing of my habituality.</w:t>
      </w:r>
      <w:r>
        <w:rPr>
          <w:vertAlign w:val="superscript"/>
        </w:rPr>
        <w:footnoteReference w:id="18"/>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If I think myself to be otherwise, then I have the intuition of a fantasylike mental process in the struggle with what I actually live, of a fantasylike hating where I love, verifying where I deny, etc. But in order to gain an actual intuition of me and my concrete life, the way I was if I behaved in a way different from the actual way, I would have to disclose the current sense I, and my whole genesis, and make intuitive to me, how it would have to procede, in order that I could and would have to behave in that way. But I was always already with a determinate acquired sense. The task is endless.</w:t>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But iteratively it leads to relative options, concordantly, whereby the always corresponding, undetermined „I“ is the index of the continuation of the possible intuitional illustration. I grasp the essential style of the option of another I (as a self-variation) in its infinity in this infinity, or rather, iteration, and succeeding intuitiveness in the unit of a possible fantasized life that has already run its course, and &lt;that&gt;, which belongs to it as an essential form, as some essentially necessary thing. I gain the evidence that the sense „I“ has to ever again be considered as originally having become from [341] a possible life, if I set the demand that it shall be &lt;that&gt; I, which would comport itself in this and that way, the way I grasp it as an intuitive option of some behavior in an empty undisclosed I, and in the struggle with the current empty I.</w:t>
      </w:r>
    </w:p>
    <w:p w:rsidR="00AF6429" w:rsidRDefault="00990825">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Times New Roman" w:eastAsia="Times New Roman" w:hAnsi="Times New Roman"/>
          <w:color w:val="auto"/>
          <w:sz w:val="20"/>
        </w:rPr>
      </w:pPr>
      <w:r>
        <w:t>Likewise in the empathy: The empathized I is empty, at first an analogon of my I, and yet sensibly struggling with my I (in my momentary sense), and not only struggling with regard to what experiences, feelings, mental processes as such I assign to the felt I, while I do not live it myself. But just as I can [conceive of] myself in the fantasizing as different, I can conceive of this indicated I as an option, that is, in such a way that &lt;I&gt; could then quasi-experience from that which &lt;is&gt; assigned to it, that which is indicated outside of the body as motivated in the genesis, as adjusted to a concrete life, by this empty I determining itself in the mode of possibility, and harmoniously building up its habituality.</w:t>
      </w:r>
    </w:p>
    <w:sectPr w:rsidR="00AF6429">
      <w:headerReference w:type="even" r:id="rId8"/>
      <w:headerReference w:type="default" r:id="rId9"/>
      <w:footerReference w:type="even" r:id="rId10"/>
      <w:footerReference w:type="default" r:id="rId11"/>
      <w:pgSz w:w="11900" w:h="16840"/>
      <w:pgMar w:top="1134" w:right="1134" w:bottom="1134" w:left="1134" w:header="709" w:footer="85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B45D02">
      <w:r>
        <w:separator/>
      </w:r>
    </w:p>
  </w:endnote>
  <w:endnote w:type="continuationSeparator" w:id="0">
    <w:p w:rsidR="00000000" w:rsidRDefault="00B45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429" w:rsidRDefault="00AF6429">
    <w:pPr>
      <w:pStyle w:val="Kopf-undFusszeilen"/>
      <w:rPr>
        <w:rFonts w:ascii="Times New Roman" w:eastAsia="Times New Roman" w:hAnsi="Times New Roman"/>
        <w:color w:val="auto"/>
      </w:rP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429" w:rsidRDefault="00AF6429">
    <w:pPr>
      <w:pStyle w:val="Kopf-undFusszeilen"/>
      <w:rPr>
        <w:rFonts w:ascii="Times New Roman" w:eastAsia="Times New Roman" w:hAnsi="Times New Roman"/>
        <w:color w:val="auto"/>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B45D02">
      <w:r>
        <w:separator/>
      </w:r>
    </w:p>
  </w:footnote>
  <w:footnote w:type="continuationSeparator" w:id="0">
    <w:p w:rsidR="00000000" w:rsidRDefault="00B45D02">
      <w:r>
        <w:continuationSeparator/>
      </w:r>
    </w:p>
  </w:footnote>
  <w:footnote w:id="1">
    <w:p w:rsidR="00AF6429" w:rsidRDefault="00990825">
      <w:pPr>
        <w:pStyle w:val="FootnoteText"/>
        <w:rPr>
          <w:rFonts w:ascii="Times New Roman" w:eastAsia="Times New Roman" w:hAnsi="Times New Roman"/>
          <w:color w:val="auto"/>
        </w:rPr>
      </w:pPr>
      <w:r>
        <w:rPr>
          <w:vertAlign w:val="superscript"/>
        </w:rPr>
        <w:footnoteRef/>
      </w:r>
      <w:r>
        <w:t xml:space="preserve"> October 1926. Last meditation of the holiday.</w:t>
      </w:r>
    </w:p>
  </w:footnote>
  <w:footnote w:id="2">
    <w:p w:rsidR="00AF6429" w:rsidRDefault="00990825">
      <w:pPr>
        <w:pStyle w:val="FootnoteText"/>
        <w:rPr>
          <w:rFonts w:ascii="Times New Roman" w:eastAsia="Times New Roman" w:hAnsi="Times New Roman"/>
          <w:color w:val="auto"/>
        </w:rPr>
      </w:pPr>
      <w:r>
        <w:rPr>
          <w:vertAlign w:val="superscript"/>
        </w:rPr>
        <w:footnoteRef/>
      </w:r>
      <w:r>
        <w:t xml:space="preserve"> But how is this common world - surrounding world - determined? Here is the relativity and the problem.</w:t>
      </w:r>
    </w:p>
  </w:footnote>
  <w:footnote w:id="3">
    <w:p w:rsidR="00AF6429" w:rsidRDefault="00990825">
      <w:pPr>
        <w:pStyle w:val="FootnoteText"/>
        <w:rPr>
          <w:rFonts w:ascii="Times New Roman" w:eastAsia="Times New Roman" w:hAnsi="Times New Roman"/>
          <w:color w:val="auto"/>
        </w:rPr>
      </w:pPr>
      <w:r>
        <w:rPr>
          <w:vertAlign w:val="superscript"/>
        </w:rPr>
        <w:footnoteRef/>
      </w:r>
      <w:r>
        <w:t xml:space="preserve"> But the surrounding world is an empty frame then.</w:t>
      </w:r>
    </w:p>
  </w:footnote>
  <w:footnote w:id="4">
    <w:p w:rsidR="00AF6429" w:rsidRDefault="00990825">
      <w:pPr>
        <w:pStyle w:val="FootnoteText"/>
        <w:rPr>
          <w:rFonts w:ascii="Times New Roman" w:eastAsia="Times New Roman" w:hAnsi="Times New Roman"/>
          <w:color w:val="auto"/>
        </w:rPr>
      </w:pPr>
      <w:r>
        <w:rPr>
          <w:vertAlign w:val="superscript"/>
        </w:rPr>
        <w:footnoteRef/>
      </w:r>
      <w:r>
        <w:t xml:space="preserve"> But are the difficulties and problems not already there?</w:t>
      </w:r>
    </w:p>
  </w:footnote>
  <w:footnote w:id="5">
    <w:p w:rsidR="00AF6429" w:rsidRDefault="00990825">
      <w:pPr>
        <w:pStyle w:val="FootnoteText"/>
        <w:rPr>
          <w:rFonts w:ascii="Times New Roman" w:eastAsia="Times New Roman" w:hAnsi="Times New Roman"/>
          <w:color w:val="auto"/>
        </w:rPr>
      </w:pPr>
      <w:r>
        <w:rPr>
          <w:vertAlign w:val="superscript"/>
        </w:rPr>
        <w:footnoteRef/>
      </w:r>
      <w:r>
        <w:t xml:space="preserve"> Beginning with the formal ontology of the „We, and the surrounding world“.</w:t>
      </w:r>
    </w:p>
  </w:footnote>
  <w:footnote w:id="6">
    <w:p w:rsidR="00AF6429" w:rsidRDefault="00990825">
      <w:pPr>
        <w:pStyle w:val="FootnoteText"/>
        <w:rPr>
          <w:rFonts w:ascii="Times New Roman" w:eastAsia="Times New Roman" w:hAnsi="Times New Roman"/>
          <w:color w:val="auto"/>
        </w:rPr>
      </w:pPr>
      <w:r>
        <w:rPr>
          <w:vertAlign w:val="superscript"/>
        </w:rPr>
        <w:footnoteRef/>
      </w:r>
      <w:r>
        <w:t xml:space="preserve"> The contrast of the variations needed to be performed in a clearer way. I still always vary on the basis of exemplary concretion, but compare something particulars on the following page (= page 329, 1-29, German edition).</w:t>
      </w:r>
    </w:p>
  </w:footnote>
  <w:footnote w:id="7">
    <w:p w:rsidR="00AF6429" w:rsidRDefault="00990825">
      <w:pPr>
        <w:pStyle w:val="FootnoteText"/>
        <w:rPr>
          <w:rFonts w:ascii="Times New Roman" w:eastAsia="Times New Roman" w:hAnsi="Times New Roman"/>
          <w:color w:val="auto"/>
        </w:rPr>
      </w:pPr>
      <w:r>
        <w:rPr>
          <w:vertAlign w:val="superscript"/>
        </w:rPr>
        <w:footnoteRef/>
      </w:r>
      <w:r>
        <w:t xml:space="preserve"> Accordingly also and prior to that a radical grounding of the universal science on the basis of positivity, leading beyond that of universal ontology.</w:t>
      </w:r>
    </w:p>
  </w:footnote>
  <w:footnote w:id="8">
    <w:p w:rsidR="00AF6429" w:rsidRDefault="00990825">
      <w:pPr>
        <w:pStyle w:val="FootnoteText"/>
        <w:rPr>
          <w:rFonts w:ascii="Times New Roman" w:eastAsia="Times New Roman" w:hAnsi="Times New Roman"/>
          <w:color w:val="auto"/>
        </w:rPr>
      </w:pPr>
      <w:r>
        <w:rPr>
          <w:vertAlign w:val="superscript"/>
        </w:rPr>
        <w:footnoteRef/>
      </w:r>
      <w:r>
        <w:t xml:space="preserve"> Ontology, purely beginning as a personal formal ontology, and surrounding world in formal indeterminateness (correlative).</w:t>
      </w:r>
    </w:p>
  </w:footnote>
  <w:footnote w:id="9">
    <w:p w:rsidR="00AF6429" w:rsidRDefault="00990825">
      <w:pPr>
        <w:pStyle w:val="FootnoteText"/>
        <w:rPr>
          <w:rFonts w:ascii="Times New Roman" w:eastAsia="Times New Roman" w:hAnsi="Times New Roman"/>
          <w:color w:val="auto"/>
        </w:rPr>
      </w:pPr>
      <w:r>
        <w:rPr>
          <w:vertAlign w:val="superscript"/>
        </w:rPr>
        <w:footnoteRef/>
      </w:r>
      <w:r>
        <w:t xml:space="preserve"> Formal world as a correlate form of a formal community of persons.</w:t>
      </w:r>
    </w:p>
  </w:footnote>
  <w:footnote w:id="10">
    <w:p w:rsidR="00AF6429" w:rsidRDefault="00990825">
      <w:pPr>
        <w:pStyle w:val="FootnoteText"/>
        <w:rPr>
          <w:rFonts w:ascii="Times New Roman" w:eastAsia="Times New Roman" w:hAnsi="Times New Roman"/>
          <w:color w:val="auto"/>
        </w:rPr>
      </w:pPr>
      <w:r>
        <w:rPr>
          <w:vertAlign w:val="superscript"/>
        </w:rPr>
        <w:footnoteRef/>
      </w:r>
      <w:r>
        <w:t xml:space="preserve"> Formal sense of nature: A nature, formally &lt;considered&gt;, has to be, in order that others can be for me.</w:t>
      </w:r>
    </w:p>
  </w:footnote>
  <w:footnote w:id="11">
    <w:p w:rsidR="00AF6429" w:rsidRDefault="00990825">
      <w:pPr>
        <w:pStyle w:val="FootnoteText"/>
        <w:rPr>
          <w:rFonts w:ascii="Times New Roman" w:eastAsia="Times New Roman" w:hAnsi="Times New Roman"/>
          <w:color w:val="auto"/>
        </w:rPr>
      </w:pPr>
      <w:r>
        <w:rPr>
          <w:vertAlign w:val="superscript"/>
        </w:rPr>
        <w:footnoteRef/>
      </w:r>
      <w:r>
        <w:t xml:space="preserve"> View the final pages &lt;= pages 337, 7-339,37&gt;.</w:t>
      </w:r>
    </w:p>
  </w:footnote>
  <w:footnote w:id="12">
    <w:p w:rsidR="00AF6429" w:rsidRDefault="00990825">
      <w:pPr>
        <w:pStyle w:val="FootnoteText"/>
        <w:rPr>
          <w:rFonts w:ascii="Times New Roman" w:eastAsia="Times New Roman" w:hAnsi="Times New Roman"/>
          <w:color w:val="auto"/>
        </w:rPr>
      </w:pPr>
      <w:r>
        <w:rPr>
          <w:vertAlign w:val="superscript"/>
        </w:rPr>
        <w:footnoteRef/>
      </w:r>
      <w:r>
        <w:t xml:space="preserve"> In a word: Logic is not only related to something objective in the world.</w:t>
      </w:r>
    </w:p>
  </w:footnote>
  <w:footnote w:id="13">
    <w:p w:rsidR="00AF6429" w:rsidRDefault="00990825">
      <w:pPr>
        <w:pStyle w:val="FootnoteText"/>
        <w:rPr>
          <w:rFonts w:ascii="Times New Roman" w:eastAsia="Times New Roman" w:hAnsi="Times New Roman"/>
          <w:color w:val="auto"/>
        </w:rPr>
      </w:pPr>
      <w:r>
        <w:rPr>
          <w:vertAlign w:val="superscript"/>
        </w:rPr>
        <w:footnoteRef/>
      </w:r>
      <w:r>
        <w:t xml:space="preserve"> The first &lt;is&gt; the formal ontology of the pure subjectivity.</w:t>
      </w:r>
    </w:p>
  </w:footnote>
  <w:footnote w:id="14">
    <w:p w:rsidR="00AF6429" w:rsidRDefault="00990825">
      <w:pPr>
        <w:pStyle w:val="FootnoteText"/>
        <w:rPr>
          <w:rFonts w:ascii="Times New Roman" w:eastAsia="Times New Roman" w:hAnsi="Times New Roman"/>
          <w:color w:val="auto"/>
        </w:rPr>
      </w:pPr>
      <w:r>
        <w:rPr>
          <w:vertAlign w:val="superscript"/>
        </w:rPr>
        <w:footnoteRef/>
      </w:r>
      <w:r>
        <w:t xml:space="preserve"> Does the logical formal structure of the world have to be reconsidered once more?</w:t>
      </w:r>
    </w:p>
  </w:footnote>
  <w:footnote w:id="15">
    <w:p w:rsidR="00AF6429" w:rsidRDefault="00990825">
      <w:pPr>
        <w:pStyle w:val="FootnoteText"/>
        <w:rPr>
          <w:rFonts w:ascii="Times New Roman" w:eastAsia="Times New Roman" w:hAnsi="Times New Roman"/>
          <w:color w:val="auto"/>
        </w:rPr>
      </w:pPr>
      <w:r>
        <w:rPr>
          <w:vertAlign w:val="superscript"/>
        </w:rPr>
        <w:footnoteRef/>
      </w:r>
      <w:r>
        <w:t xml:space="preserve"> Compare on this supplement XXVI (pages 340f.). - Editor‘s note.</w:t>
      </w:r>
    </w:p>
  </w:footnote>
  <w:footnote w:id="16">
    <w:p w:rsidR="00AF6429" w:rsidRDefault="00990825">
      <w:pPr>
        <w:pStyle w:val="FootnoteText"/>
        <w:rPr>
          <w:rFonts w:ascii="Times New Roman" w:eastAsia="Times New Roman" w:hAnsi="Times New Roman"/>
          <w:color w:val="auto"/>
        </w:rPr>
      </w:pPr>
      <w:r>
        <w:rPr>
          <w:vertAlign w:val="superscript"/>
        </w:rPr>
        <w:footnoteRef/>
      </w:r>
      <w:r>
        <w:t xml:space="preserve"> The sense of being, constituted as a world for an animal subjectivity, is another one than the one for us men and for possible men as such. But: The being of the animals and that of their world presupposes men and human world, of which it makes itself a member. And apart from that the community between man and animal, reciprocal understanding is grounded and it is therefore similar as between men of different steps of reason.</w:t>
      </w:r>
    </w:p>
  </w:footnote>
  <w:footnote w:id="17">
    <w:p w:rsidR="00AF6429" w:rsidRDefault="00990825">
      <w:pPr>
        <w:pStyle w:val="FootnoteText"/>
        <w:rPr>
          <w:rFonts w:ascii="Times New Roman" w:eastAsia="Times New Roman" w:hAnsi="Times New Roman"/>
          <w:color w:val="auto"/>
        </w:rPr>
      </w:pPr>
      <w:r>
        <w:rPr>
          <w:vertAlign w:val="superscript"/>
        </w:rPr>
        <w:footnoteRef/>
      </w:r>
      <w:r>
        <w:t xml:space="preserve"> October 1926.</w:t>
      </w:r>
    </w:p>
  </w:footnote>
  <w:footnote w:id="18">
    <w:p w:rsidR="00AF6429" w:rsidRDefault="00990825">
      <w:pPr>
        <w:pStyle w:val="FootnoteText"/>
        <w:rPr>
          <w:rFonts w:ascii="Times New Roman" w:eastAsia="Times New Roman" w:hAnsi="Times New Roman"/>
          <w:color w:val="auto"/>
        </w:rPr>
      </w:pPr>
      <w:r>
        <w:rPr>
          <w:vertAlign w:val="superscript"/>
        </w:rPr>
        <w:footnoteRef/>
      </w:r>
      <w:r>
        <w:t xml:space="preserve"> N(ota) b(ene): How do I cognize the option that I would be different than I am</w:t>
      </w:r>
      <w:proofErr w:type="gramStart"/>
      <w:r>
        <w:t>, as</w:t>
      </w:r>
      <w:proofErr w:type="gramEnd"/>
      <w:r>
        <w:t xml:space="preserve"> the option of another I, a foreign one? I as an empty, undisclosed habitual sense (with an identical pole and constantly changing habitual content of determination) within the „I am“. Infinity of the disclosure, that is, infinity of the I.</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429" w:rsidRDefault="00AF6429">
    <w:pPr>
      <w:pStyle w:val="Kopf-undFusszeilen"/>
      <w:rPr>
        <w:rFonts w:ascii="Times New Roman" w:eastAsia="Times New Roman" w:hAnsi="Times New Roman"/>
        <w:color w:val="auto"/>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429" w:rsidRDefault="00AF6429">
    <w:pPr>
      <w:pStyle w:val="Kopf-undFusszeilen"/>
      <w:rPr>
        <w:rFonts w:ascii="Times New Roman" w:eastAsia="Times New Roman" w:hAnsi="Times New Roman"/>
        <w:color w:val="auto"/>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894EE873"/>
    <w:lvl w:ilvl="0">
      <w:start w:val="1"/>
      <w:numFmt w:val="decimal"/>
      <w:isLgl/>
      <w:lvlText w:val="%1)"/>
      <w:lvlJc w:val="left"/>
      <w:pPr>
        <w:tabs>
          <w:tab w:val="num" w:pos="280"/>
        </w:tabs>
        <w:ind w:left="280" w:firstLine="0"/>
      </w:pPr>
      <w:rPr>
        <w:rFonts w:hint="default"/>
        <w:position w:val="0"/>
      </w:rPr>
    </w:lvl>
    <w:lvl w:ilvl="1">
      <w:start w:val="1"/>
      <w:numFmt w:val="decimal"/>
      <w:isLgl/>
      <w:lvlText w:val="%2)"/>
      <w:lvlJc w:val="left"/>
      <w:pPr>
        <w:tabs>
          <w:tab w:val="num" w:pos="280"/>
        </w:tabs>
        <w:ind w:left="280" w:firstLine="720"/>
      </w:pPr>
      <w:rPr>
        <w:rFonts w:hint="default"/>
        <w:position w:val="0"/>
      </w:rPr>
    </w:lvl>
    <w:lvl w:ilvl="2">
      <w:start w:val="1"/>
      <w:numFmt w:val="decimal"/>
      <w:isLgl/>
      <w:lvlText w:val="%3)"/>
      <w:lvlJc w:val="left"/>
      <w:pPr>
        <w:tabs>
          <w:tab w:val="num" w:pos="280"/>
        </w:tabs>
        <w:ind w:left="280" w:firstLine="1440"/>
      </w:pPr>
      <w:rPr>
        <w:rFonts w:hint="default"/>
        <w:position w:val="0"/>
      </w:rPr>
    </w:lvl>
    <w:lvl w:ilvl="3">
      <w:start w:val="1"/>
      <w:numFmt w:val="decimal"/>
      <w:isLgl/>
      <w:lvlText w:val="%4)"/>
      <w:lvlJc w:val="left"/>
      <w:pPr>
        <w:tabs>
          <w:tab w:val="num" w:pos="280"/>
        </w:tabs>
        <w:ind w:left="280" w:firstLine="2160"/>
      </w:pPr>
      <w:rPr>
        <w:rFonts w:hint="default"/>
        <w:position w:val="0"/>
      </w:rPr>
    </w:lvl>
    <w:lvl w:ilvl="4">
      <w:start w:val="1"/>
      <w:numFmt w:val="decimal"/>
      <w:isLgl/>
      <w:lvlText w:val="%5)"/>
      <w:lvlJc w:val="left"/>
      <w:pPr>
        <w:tabs>
          <w:tab w:val="num" w:pos="280"/>
        </w:tabs>
        <w:ind w:left="280" w:firstLine="2880"/>
      </w:pPr>
      <w:rPr>
        <w:rFonts w:hint="default"/>
        <w:position w:val="0"/>
      </w:rPr>
    </w:lvl>
    <w:lvl w:ilvl="5">
      <w:start w:val="1"/>
      <w:numFmt w:val="decimal"/>
      <w:isLgl/>
      <w:lvlText w:val="%6)"/>
      <w:lvlJc w:val="left"/>
      <w:pPr>
        <w:tabs>
          <w:tab w:val="num" w:pos="280"/>
        </w:tabs>
        <w:ind w:left="280" w:firstLine="3600"/>
      </w:pPr>
      <w:rPr>
        <w:rFonts w:hint="default"/>
        <w:position w:val="0"/>
      </w:rPr>
    </w:lvl>
    <w:lvl w:ilvl="6">
      <w:start w:val="1"/>
      <w:numFmt w:val="decimal"/>
      <w:isLgl/>
      <w:lvlText w:val="%7)"/>
      <w:lvlJc w:val="left"/>
      <w:pPr>
        <w:tabs>
          <w:tab w:val="num" w:pos="280"/>
        </w:tabs>
        <w:ind w:left="280" w:firstLine="4320"/>
      </w:pPr>
      <w:rPr>
        <w:rFonts w:hint="default"/>
        <w:position w:val="0"/>
      </w:rPr>
    </w:lvl>
    <w:lvl w:ilvl="7">
      <w:start w:val="1"/>
      <w:numFmt w:val="decimal"/>
      <w:isLgl/>
      <w:lvlText w:val="%8)"/>
      <w:lvlJc w:val="left"/>
      <w:pPr>
        <w:tabs>
          <w:tab w:val="num" w:pos="280"/>
        </w:tabs>
        <w:ind w:left="280" w:firstLine="5040"/>
      </w:pPr>
      <w:rPr>
        <w:rFonts w:hint="default"/>
        <w:position w:val="0"/>
      </w:rPr>
    </w:lvl>
    <w:lvl w:ilvl="8">
      <w:start w:val="1"/>
      <w:numFmt w:val="decimal"/>
      <w:isLgl/>
      <w:lvlText w:val="%9)"/>
      <w:lvlJc w:val="left"/>
      <w:pPr>
        <w:tabs>
          <w:tab w:val="num" w:pos="280"/>
        </w:tabs>
        <w:ind w:left="280" w:firstLine="5760"/>
      </w:pPr>
      <w:rPr>
        <w:rFonts w:hint="default"/>
        <w:position w:val="0"/>
      </w:rPr>
    </w:lvl>
  </w:abstractNum>
  <w:abstractNum w:abstractNumId="1">
    <w:nsid w:val="00000002"/>
    <w:multiLevelType w:val="multilevel"/>
    <w:tmpl w:val="894EE874"/>
    <w:lvl w:ilvl="0">
      <w:start w:val="2"/>
      <w:numFmt w:val="decimal"/>
      <w:isLgl/>
      <w:lvlText w:val="%1)"/>
      <w:lvlJc w:val="left"/>
      <w:pPr>
        <w:tabs>
          <w:tab w:val="num" w:pos="280"/>
        </w:tabs>
        <w:ind w:left="280" w:firstLine="0"/>
      </w:pPr>
      <w:rPr>
        <w:rFonts w:hint="default"/>
        <w:position w:val="0"/>
      </w:rPr>
    </w:lvl>
    <w:lvl w:ilvl="1">
      <w:start w:val="1"/>
      <w:numFmt w:val="decimal"/>
      <w:isLgl/>
      <w:lvlText w:val="%2)"/>
      <w:lvlJc w:val="left"/>
      <w:pPr>
        <w:tabs>
          <w:tab w:val="num" w:pos="280"/>
        </w:tabs>
        <w:ind w:left="280" w:firstLine="720"/>
      </w:pPr>
      <w:rPr>
        <w:rFonts w:hint="default"/>
        <w:position w:val="0"/>
      </w:rPr>
    </w:lvl>
    <w:lvl w:ilvl="2">
      <w:start w:val="1"/>
      <w:numFmt w:val="decimal"/>
      <w:isLgl/>
      <w:lvlText w:val="%3)"/>
      <w:lvlJc w:val="left"/>
      <w:pPr>
        <w:tabs>
          <w:tab w:val="num" w:pos="280"/>
        </w:tabs>
        <w:ind w:left="280" w:firstLine="1440"/>
      </w:pPr>
      <w:rPr>
        <w:rFonts w:hint="default"/>
        <w:position w:val="0"/>
      </w:rPr>
    </w:lvl>
    <w:lvl w:ilvl="3">
      <w:start w:val="1"/>
      <w:numFmt w:val="decimal"/>
      <w:isLgl/>
      <w:lvlText w:val="%4)"/>
      <w:lvlJc w:val="left"/>
      <w:pPr>
        <w:tabs>
          <w:tab w:val="num" w:pos="280"/>
        </w:tabs>
        <w:ind w:left="280" w:firstLine="2160"/>
      </w:pPr>
      <w:rPr>
        <w:rFonts w:hint="default"/>
        <w:position w:val="0"/>
      </w:rPr>
    </w:lvl>
    <w:lvl w:ilvl="4">
      <w:start w:val="1"/>
      <w:numFmt w:val="decimal"/>
      <w:isLgl/>
      <w:lvlText w:val="%5)"/>
      <w:lvlJc w:val="left"/>
      <w:pPr>
        <w:tabs>
          <w:tab w:val="num" w:pos="280"/>
        </w:tabs>
        <w:ind w:left="280" w:firstLine="2880"/>
      </w:pPr>
      <w:rPr>
        <w:rFonts w:hint="default"/>
        <w:position w:val="0"/>
      </w:rPr>
    </w:lvl>
    <w:lvl w:ilvl="5">
      <w:start w:val="1"/>
      <w:numFmt w:val="decimal"/>
      <w:isLgl/>
      <w:lvlText w:val="%6)"/>
      <w:lvlJc w:val="left"/>
      <w:pPr>
        <w:tabs>
          <w:tab w:val="num" w:pos="280"/>
        </w:tabs>
        <w:ind w:left="280" w:firstLine="3600"/>
      </w:pPr>
      <w:rPr>
        <w:rFonts w:hint="default"/>
        <w:position w:val="0"/>
      </w:rPr>
    </w:lvl>
    <w:lvl w:ilvl="6">
      <w:start w:val="1"/>
      <w:numFmt w:val="decimal"/>
      <w:isLgl/>
      <w:lvlText w:val="%7)"/>
      <w:lvlJc w:val="left"/>
      <w:pPr>
        <w:tabs>
          <w:tab w:val="num" w:pos="280"/>
        </w:tabs>
        <w:ind w:left="280" w:firstLine="4320"/>
      </w:pPr>
      <w:rPr>
        <w:rFonts w:hint="default"/>
        <w:position w:val="0"/>
      </w:rPr>
    </w:lvl>
    <w:lvl w:ilvl="7">
      <w:start w:val="1"/>
      <w:numFmt w:val="decimal"/>
      <w:isLgl/>
      <w:lvlText w:val="%8)"/>
      <w:lvlJc w:val="left"/>
      <w:pPr>
        <w:tabs>
          <w:tab w:val="num" w:pos="280"/>
        </w:tabs>
        <w:ind w:left="280" w:firstLine="5040"/>
      </w:pPr>
      <w:rPr>
        <w:rFonts w:hint="default"/>
        <w:position w:val="0"/>
      </w:rPr>
    </w:lvl>
    <w:lvl w:ilvl="8">
      <w:start w:val="1"/>
      <w:numFmt w:val="decimal"/>
      <w:isLgl/>
      <w:lvlText w:val="%9)"/>
      <w:lvlJc w:val="left"/>
      <w:pPr>
        <w:tabs>
          <w:tab w:val="num" w:pos="280"/>
        </w:tabs>
        <w:ind w:left="280" w:firstLine="5760"/>
      </w:pPr>
      <w:rPr>
        <w:rFonts w:hint="default"/>
        <w:position w:val="0"/>
      </w:rPr>
    </w:lvl>
  </w:abstractNum>
  <w:abstractNum w:abstractNumId="2">
    <w:nsid w:val="00000003"/>
    <w:multiLevelType w:val="multilevel"/>
    <w:tmpl w:val="894EE875"/>
    <w:lvl w:ilvl="0">
      <w:start w:val="1"/>
      <w:numFmt w:val="lowerLetter"/>
      <w:lvlText w:val="%1)"/>
      <w:lvlJc w:val="left"/>
      <w:pPr>
        <w:tabs>
          <w:tab w:val="num" w:pos="280"/>
        </w:tabs>
        <w:ind w:left="280" w:firstLine="0"/>
      </w:pPr>
      <w:rPr>
        <w:rFonts w:hint="default"/>
        <w:position w:val="0"/>
      </w:rPr>
    </w:lvl>
    <w:lvl w:ilvl="1">
      <w:start w:val="1"/>
      <w:numFmt w:val="lowerLetter"/>
      <w:lvlText w:val="%2)"/>
      <w:lvlJc w:val="left"/>
      <w:pPr>
        <w:tabs>
          <w:tab w:val="num" w:pos="280"/>
        </w:tabs>
        <w:ind w:left="280" w:firstLine="720"/>
      </w:pPr>
      <w:rPr>
        <w:rFonts w:hint="default"/>
        <w:position w:val="0"/>
      </w:rPr>
    </w:lvl>
    <w:lvl w:ilvl="2">
      <w:start w:val="1"/>
      <w:numFmt w:val="lowerLetter"/>
      <w:lvlText w:val="%3)"/>
      <w:lvlJc w:val="left"/>
      <w:pPr>
        <w:tabs>
          <w:tab w:val="num" w:pos="280"/>
        </w:tabs>
        <w:ind w:left="280" w:firstLine="1440"/>
      </w:pPr>
      <w:rPr>
        <w:rFonts w:hint="default"/>
        <w:position w:val="0"/>
      </w:rPr>
    </w:lvl>
    <w:lvl w:ilvl="3">
      <w:start w:val="1"/>
      <w:numFmt w:val="lowerLetter"/>
      <w:lvlText w:val="%4)"/>
      <w:lvlJc w:val="left"/>
      <w:pPr>
        <w:tabs>
          <w:tab w:val="num" w:pos="280"/>
        </w:tabs>
        <w:ind w:left="280" w:firstLine="2160"/>
      </w:pPr>
      <w:rPr>
        <w:rFonts w:hint="default"/>
        <w:position w:val="0"/>
      </w:rPr>
    </w:lvl>
    <w:lvl w:ilvl="4">
      <w:start w:val="1"/>
      <w:numFmt w:val="lowerLetter"/>
      <w:lvlText w:val="%5)"/>
      <w:lvlJc w:val="left"/>
      <w:pPr>
        <w:tabs>
          <w:tab w:val="num" w:pos="280"/>
        </w:tabs>
        <w:ind w:left="280" w:firstLine="2880"/>
      </w:pPr>
      <w:rPr>
        <w:rFonts w:hint="default"/>
        <w:position w:val="0"/>
      </w:rPr>
    </w:lvl>
    <w:lvl w:ilvl="5">
      <w:start w:val="1"/>
      <w:numFmt w:val="lowerLetter"/>
      <w:lvlText w:val="%6)"/>
      <w:lvlJc w:val="left"/>
      <w:pPr>
        <w:tabs>
          <w:tab w:val="num" w:pos="280"/>
        </w:tabs>
        <w:ind w:left="280" w:firstLine="3600"/>
      </w:pPr>
      <w:rPr>
        <w:rFonts w:hint="default"/>
        <w:position w:val="0"/>
      </w:rPr>
    </w:lvl>
    <w:lvl w:ilvl="6">
      <w:start w:val="1"/>
      <w:numFmt w:val="lowerLetter"/>
      <w:lvlText w:val="%7)"/>
      <w:lvlJc w:val="left"/>
      <w:pPr>
        <w:tabs>
          <w:tab w:val="num" w:pos="280"/>
        </w:tabs>
        <w:ind w:left="280" w:firstLine="4320"/>
      </w:pPr>
      <w:rPr>
        <w:rFonts w:hint="default"/>
        <w:position w:val="0"/>
      </w:rPr>
    </w:lvl>
    <w:lvl w:ilvl="7">
      <w:start w:val="1"/>
      <w:numFmt w:val="lowerLetter"/>
      <w:lvlText w:val="%8)"/>
      <w:lvlJc w:val="left"/>
      <w:pPr>
        <w:tabs>
          <w:tab w:val="num" w:pos="280"/>
        </w:tabs>
        <w:ind w:left="280" w:firstLine="5040"/>
      </w:pPr>
      <w:rPr>
        <w:rFonts w:hint="default"/>
        <w:position w:val="0"/>
      </w:rPr>
    </w:lvl>
    <w:lvl w:ilvl="8">
      <w:start w:val="1"/>
      <w:numFmt w:val="lowerLetter"/>
      <w:lvlText w:val="%9)"/>
      <w:lvlJc w:val="left"/>
      <w:pPr>
        <w:tabs>
          <w:tab w:val="num" w:pos="280"/>
        </w:tabs>
        <w:ind w:left="280" w:firstLine="5760"/>
      </w:pPr>
      <w:rPr>
        <w:rFonts w:hint="default"/>
        <w:position w:val="0"/>
      </w:rPr>
    </w:lvl>
  </w:abstractNum>
  <w:abstractNum w:abstractNumId="3">
    <w:nsid w:val="00000004"/>
    <w:multiLevelType w:val="multilevel"/>
    <w:tmpl w:val="894EE876"/>
    <w:lvl w:ilvl="0">
      <w:start w:val="1"/>
      <w:numFmt w:val="lowerLetter"/>
      <w:lvlText w:val="%1)"/>
      <w:lvlJc w:val="left"/>
      <w:pPr>
        <w:tabs>
          <w:tab w:val="num" w:pos="280"/>
        </w:tabs>
        <w:ind w:left="280" w:firstLine="0"/>
      </w:pPr>
      <w:rPr>
        <w:rFonts w:hint="default"/>
        <w:position w:val="0"/>
      </w:rPr>
    </w:lvl>
    <w:lvl w:ilvl="1">
      <w:start w:val="1"/>
      <w:numFmt w:val="lowerLetter"/>
      <w:lvlText w:val="%2)"/>
      <w:lvlJc w:val="left"/>
      <w:pPr>
        <w:tabs>
          <w:tab w:val="num" w:pos="280"/>
        </w:tabs>
        <w:ind w:left="280" w:firstLine="720"/>
      </w:pPr>
      <w:rPr>
        <w:rFonts w:hint="default"/>
        <w:position w:val="0"/>
      </w:rPr>
    </w:lvl>
    <w:lvl w:ilvl="2">
      <w:start w:val="1"/>
      <w:numFmt w:val="lowerLetter"/>
      <w:lvlText w:val="%3)"/>
      <w:lvlJc w:val="left"/>
      <w:pPr>
        <w:tabs>
          <w:tab w:val="num" w:pos="280"/>
        </w:tabs>
        <w:ind w:left="280" w:firstLine="1440"/>
      </w:pPr>
      <w:rPr>
        <w:rFonts w:hint="default"/>
        <w:position w:val="0"/>
      </w:rPr>
    </w:lvl>
    <w:lvl w:ilvl="3">
      <w:start w:val="1"/>
      <w:numFmt w:val="lowerLetter"/>
      <w:lvlText w:val="%4)"/>
      <w:lvlJc w:val="left"/>
      <w:pPr>
        <w:tabs>
          <w:tab w:val="num" w:pos="280"/>
        </w:tabs>
        <w:ind w:left="280" w:firstLine="2160"/>
      </w:pPr>
      <w:rPr>
        <w:rFonts w:hint="default"/>
        <w:position w:val="0"/>
      </w:rPr>
    </w:lvl>
    <w:lvl w:ilvl="4">
      <w:start w:val="1"/>
      <w:numFmt w:val="lowerLetter"/>
      <w:lvlText w:val="%5)"/>
      <w:lvlJc w:val="left"/>
      <w:pPr>
        <w:tabs>
          <w:tab w:val="num" w:pos="280"/>
        </w:tabs>
        <w:ind w:left="280" w:firstLine="2880"/>
      </w:pPr>
      <w:rPr>
        <w:rFonts w:hint="default"/>
        <w:position w:val="0"/>
      </w:rPr>
    </w:lvl>
    <w:lvl w:ilvl="5">
      <w:start w:val="1"/>
      <w:numFmt w:val="lowerLetter"/>
      <w:lvlText w:val="%6)"/>
      <w:lvlJc w:val="left"/>
      <w:pPr>
        <w:tabs>
          <w:tab w:val="num" w:pos="280"/>
        </w:tabs>
        <w:ind w:left="280" w:firstLine="3600"/>
      </w:pPr>
      <w:rPr>
        <w:rFonts w:hint="default"/>
        <w:position w:val="0"/>
      </w:rPr>
    </w:lvl>
    <w:lvl w:ilvl="6">
      <w:start w:val="1"/>
      <w:numFmt w:val="lowerLetter"/>
      <w:lvlText w:val="%7)"/>
      <w:lvlJc w:val="left"/>
      <w:pPr>
        <w:tabs>
          <w:tab w:val="num" w:pos="280"/>
        </w:tabs>
        <w:ind w:left="280" w:firstLine="4320"/>
      </w:pPr>
      <w:rPr>
        <w:rFonts w:hint="default"/>
        <w:position w:val="0"/>
      </w:rPr>
    </w:lvl>
    <w:lvl w:ilvl="7">
      <w:start w:val="1"/>
      <w:numFmt w:val="lowerLetter"/>
      <w:lvlText w:val="%8)"/>
      <w:lvlJc w:val="left"/>
      <w:pPr>
        <w:tabs>
          <w:tab w:val="num" w:pos="280"/>
        </w:tabs>
        <w:ind w:left="280" w:firstLine="5040"/>
      </w:pPr>
      <w:rPr>
        <w:rFonts w:hint="default"/>
        <w:position w:val="0"/>
      </w:rPr>
    </w:lvl>
    <w:lvl w:ilvl="8">
      <w:start w:val="1"/>
      <w:numFmt w:val="lowerLetter"/>
      <w:lvlText w:val="%9)"/>
      <w:lvlJc w:val="left"/>
      <w:pPr>
        <w:tabs>
          <w:tab w:val="num" w:pos="280"/>
        </w:tabs>
        <w:ind w:left="280" w:firstLine="5760"/>
      </w:pPr>
      <w:rPr>
        <w:rFonts w:hint="default"/>
        <w:position w:val="0"/>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825"/>
    <w:rsid w:val="00990825"/>
    <w:rsid w:val="00AF6429"/>
    <w:rsid w:val="00B45D02"/>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1"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locked="0" w:semiHidden="1" w:uiPriority="99" w:unhideWhenUsed="1"/>
    <w:lsdException w:name="Note Level 2" w:locked="0" w:semiHidden="1" w:uiPriority="99" w:unhideWhenUsed="1"/>
    <w:lsdException w:name="Note Level 3" w:locked="0" w:semiHidden="1" w:uiPriority="99" w:unhideWhenUsed="1"/>
    <w:lsdException w:name="Note Level 4" w:locked="0" w:semiHidden="1" w:uiPriority="99" w:unhideWhenUsed="1"/>
    <w:lsdException w:name="Note Level 5" w:locked="0" w:semiHidden="1" w:uiPriority="99" w:unhideWhenUsed="1"/>
    <w:lsdException w:name="Note Level 6" w:locked="0" w:semiHidden="1" w:uiPriority="99" w:unhideWhenUsed="1"/>
    <w:lsdException w:name="Note Level 7" w:locked="0" w:semiHidden="1" w:uiPriority="99" w:unhideWhenUsed="1"/>
    <w:lsdException w:name="Note Level 8" w:locked="0" w:semiHidden="1" w:uiPriority="99" w:unhideWhenUsed="1"/>
    <w:lsdException w:name="Note Level 9" w:locked="0" w:semiHidden="1" w:uiPriority="99" w:unhideWhenUsed="1"/>
    <w:lsdException w:name="Placeholder Text" w:locked="0" w:semiHidden="1" w:uiPriority="99"/>
    <w:lsdException w:name="No Spacing" w:locked="0" w:semiHidden="1"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opf-undFusszeilen">
    <w:name w:val="Kopf- und Fusszeilen"/>
    <w:autoRedefine/>
    <w:pPr>
      <w:tabs>
        <w:tab w:val="right" w:pos="9632"/>
      </w:tabs>
    </w:pPr>
    <w:rPr>
      <w:rFonts w:ascii="Helvetica" w:eastAsia="ヒラギノ角ゴ Pro W3" w:hAnsi="Helvetica"/>
      <w:color w:val="000000"/>
    </w:rPr>
  </w:style>
  <w:style w:type="paragraph" w:customStyle="1" w:styleId="Text">
    <w:name w:val="Text"/>
    <w:rPr>
      <w:rFonts w:ascii="Helvetica" w:eastAsia="ヒラギノ角ゴ Pro W3" w:hAnsi="Helvetica"/>
      <w:color w:val="000000"/>
      <w:sz w:val="24"/>
    </w:rPr>
  </w:style>
  <w:style w:type="paragraph" w:styleId="FootnoteText">
    <w:name w:val="footnote text"/>
    <w:autoRedefine/>
    <w:rPr>
      <w:rFonts w:ascii="Helvetica" w:eastAsia="ヒラギノ角ゴ Pro W3" w:hAnsi="Helvetica"/>
      <w:color w:val="00000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1"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locked="0" w:semiHidden="1" w:uiPriority="99" w:unhideWhenUsed="1"/>
    <w:lsdException w:name="Note Level 2" w:locked="0" w:semiHidden="1" w:uiPriority="99" w:unhideWhenUsed="1"/>
    <w:lsdException w:name="Note Level 3" w:locked="0" w:semiHidden="1" w:uiPriority="99" w:unhideWhenUsed="1"/>
    <w:lsdException w:name="Note Level 4" w:locked="0" w:semiHidden="1" w:uiPriority="99" w:unhideWhenUsed="1"/>
    <w:lsdException w:name="Note Level 5" w:locked="0" w:semiHidden="1" w:uiPriority="99" w:unhideWhenUsed="1"/>
    <w:lsdException w:name="Note Level 6" w:locked="0" w:semiHidden="1" w:uiPriority="99" w:unhideWhenUsed="1"/>
    <w:lsdException w:name="Note Level 7" w:locked="0" w:semiHidden="1" w:uiPriority="99" w:unhideWhenUsed="1"/>
    <w:lsdException w:name="Note Level 8" w:locked="0" w:semiHidden="1" w:uiPriority="99" w:unhideWhenUsed="1"/>
    <w:lsdException w:name="Note Level 9" w:locked="0" w:semiHidden="1" w:uiPriority="99" w:unhideWhenUsed="1"/>
    <w:lsdException w:name="Placeholder Text" w:locked="0" w:semiHidden="1" w:uiPriority="99"/>
    <w:lsdException w:name="No Spacing" w:locked="0" w:semiHidden="1"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opf-undFusszeilen">
    <w:name w:val="Kopf- und Fusszeilen"/>
    <w:autoRedefine/>
    <w:pPr>
      <w:tabs>
        <w:tab w:val="right" w:pos="9632"/>
      </w:tabs>
    </w:pPr>
    <w:rPr>
      <w:rFonts w:ascii="Helvetica" w:eastAsia="ヒラギノ角ゴ Pro W3" w:hAnsi="Helvetica"/>
      <w:color w:val="000000"/>
    </w:rPr>
  </w:style>
  <w:style w:type="paragraph" w:customStyle="1" w:styleId="Text">
    <w:name w:val="Text"/>
    <w:rPr>
      <w:rFonts w:ascii="Helvetica" w:eastAsia="ヒラギノ角ゴ Pro W3" w:hAnsi="Helvetica"/>
      <w:color w:val="000000"/>
      <w:sz w:val="24"/>
    </w:rPr>
  </w:style>
  <w:style w:type="paragraph" w:styleId="FootnoteText">
    <w:name w:val="footnote text"/>
    <w:autoRedefine/>
    <w:rPr>
      <w:rFonts w:ascii="Helvetica" w:eastAsia="ヒラギノ角ゴ Pro W3" w:hAnsi="Helvetic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6747</Words>
  <Characters>32862</Characters>
  <Application>Microsoft Macintosh Word</Application>
  <DocSecurity>0</DocSecurity>
  <Lines>483</Lines>
  <Paragraphs>62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39547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Hughes</dc:creator>
  <cp:keywords/>
  <dc:description/>
  <cp:lastModifiedBy>Dan Hughes</cp:lastModifiedBy>
  <cp:revision>2</cp:revision>
  <dcterms:created xsi:type="dcterms:W3CDTF">2015-08-30T00:28:00Z</dcterms:created>
  <dcterms:modified xsi:type="dcterms:W3CDTF">2015-08-30T00:28:00Z</dcterms:modified>
  <cp:category/>
</cp:coreProperties>
</file>